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5535ba07af1491f863284ec7483183a3541f08"/>
    <w:p>
      <w:pPr>
        <w:pStyle w:val="Heading3"/>
      </w:pPr>
      <w:r>
        <w:t xml:space="preserve">Информация от ФНС № 29 г. Москвы о возможностях граждан в осуществлении контроля за соблюдением законодательства о применении контрольно-кассовой техники.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drawing>
          <wp:inline>
            <wp:extent cx="5334000" cy="75472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rnadskogo.mos.ru/www/upload/medialibrary/134/prilozhenie-_1-banner-o-primenenii-kkt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472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ernadskogo.mos.ru/www/upload/medialibrary/f89/prilozhenie-_1-banner-o-primenenii-kkt_page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http://vernadskogo.mos.ru/to-help-the-taxpayer-new/detail/9810866.html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vernadskogo.mos.ru" TargetMode="External" /><Relationship Type="http://schemas.openxmlformats.org/officeDocument/2006/relationships/hyperlink" Id="rId26" Target="http://vernadskogo.mos.ru/to-help-the-taxpayer-new/detail/9810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ernadskogo.mos.ru" TargetMode="External" /><Relationship Type="http://schemas.openxmlformats.org/officeDocument/2006/relationships/hyperlink" Id="rId26" Target="http://vernadskogo.mos.ru/to-help-the-taxpayer-new/detail/9810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2024-03-03T08:47:47Z</dcterms:created>
  <dcterms:modified xsi:type="dcterms:W3CDTF">2024-03-03T08:47:47Z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