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6511e22031ac9e10ff60198edb5f527c03c4e9"/>
    <w:p>
      <w:pPr>
        <w:pStyle w:val="Heading3"/>
      </w:pPr>
      <w:r>
        <w:t xml:space="preserve">УФНС по г. Москве информирует: 1 декабря наступает срок уплаты имущественных налогов для физических лиц</w:t>
      </w:r>
    </w:p>
    <w:p>
      <w:pPr>
        <w:pStyle w:val="FirstParagraph"/>
      </w:pPr>
      <w:r>
        <w:t xml:space="preserve">26.10.2020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http://vernadskogo.mos.ru/to-help-the-taxpayer-new/detail/9357031.html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to-help-the-taxpayer-new/detail/93570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to-help-the-taxpayer-new/detail/93570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2024-03-04T01:30:53Z</dcterms:created>
  <dcterms:modified xsi:type="dcterms:W3CDTF">2024-03-04T01:30:53Z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