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d6eb6b137ec9508c2be3710404d1db7f34713"/>
    <w:p>
      <w:pPr>
        <w:pStyle w:val="Heading3"/>
      </w:pPr>
      <w:r>
        <w:t xml:space="preserve">Плата в систему «Платон» не учитывается при расчете транспортного налога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t xml:space="preserve">Плата в систему «Платон» не учитывается при расчете транспортного налога.</w:t>
      </w:r>
    </w:p>
    <w:p>
      <w:pPr>
        <w:pStyle w:val="BodyText"/>
      </w:pPr>
      <w:r>
        <w:t xml:space="preserve">С 1 января 2019 отменен вычет физическим лицам по транспортному налогу в размере платы в систему «Платон» за вред, который транспорт с разрешенной максимальной массой свыше 12 тонн причиняет дорогам федерального 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http://vernadskogo.mos.ru/to-help-the-taxpayer-new/detail/8911784.html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8911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8911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2024-03-03T12:17:57Z</dcterms:created>
  <dcterms:modified xsi:type="dcterms:W3CDTF">2024-03-03T12:17:57Z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