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bc90717e13cf78dfe9ee6f02c60df6ef484737"/>
    <w:p>
      <w:pPr>
        <w:pStyle w:val="Heading3"/>
      </w:pPr>
      <w:r>
        <w:t xml:space="preserve">Москва принимает участие в реализации отраслевого проекта ФНС России "Общественное питание"</w:t>
      </w:r>
    </w:p>
    <w:p>
      <w:pPr>
        <w:pStyle w:val="FirstParagraph"/>
      </w:pPr>
      <w:r>
        <w:t xml:space="preserve">23.04.2024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http://vernadskogo.mos.ru/to-help-the-taxpayer-new/detail/12335044.html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Проспект Вернадского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ernadskogo.mos.ru" TargetMode="External" /><Relationship Type="http://schemas.openxmlformats.org/officeDocument/2006/relationships/hyperlink" Id="rId20" Target="http://vernadskogo.mos.ru/to-help-the-taxpayer-new/detail/1233504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ernadskogo.mos.ru" TargetMode="External" /><Relationship Type="http://schemas.openxmlformats.org/officeDocument/2006/relationships/hyperlink" Id="rId20" Target="http://vernadskogo.mos.ru/to-help-the-taxpayer-new/detail/1233504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2025-04-27T21:14:18Z</dcterms:created>
  <dcterms:modified xsi:type="dcterms:W3CDTF">2025-04-27T21:14:18Z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