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8051dc1ad390fbc61c5bdb5fd8eb6695617b0"/>
    <w:p>
      <w:pPr>
        <w:pStyle w:val="Heading3"/>
      </w:pPr>
      <w:r>
        <w:t xml:space="preserve">Заявительный порядок предоставления налоговых льгот по имущественным налогам юридических лиц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Организациям, которые имеют право на льготы по имущественным налогам (транспортный налог, земельный налог, налог на имущество), необходимо направить в налоговый орган заявление налогоплательщика-организации о предоставлении налоговой льготы. Форма заявления о предоставлении налоговой льготы утверждены формами КНД 1150064 (транспортный и (или) земельный налог) и КНД 1150121 (налог на имущество).</w:t>
      </w:r>
    </w:p>
    <w:p>
      <w:pPr>
        <w:pStyle w:val="BodyText"/>
      </w:pPr>
      <w:r>
        <w:t xml:space="preserve">Вместе с заявлениями налогоплательщики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Для корректного расчета налога заявление о представлении налоговой льготы за 2023 год организации целесообразно представить не позднее I квартала 2024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http://vernadskogo.mos.ru/to-help-the-taxpayer-new/detail/12100803.html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100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100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2024-01-16T14:16:11Z</dcterms:created>
  <dcterms:modified xsi:type="dcterms:W3CDTF">2024-01-16T14:16:11Z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