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82cbe8a63d5258efdbf392e42a65cdf087468ab"/>
    <w:p>
      <w:pPr>
        <w:pStyle w:val="Heading3"/>
      </w:pPr>
      <w:r>
        <w:t xml:space="preserve">В ФНС рассказали о беззаявительном порядке представления физлицам льгот по имущественным налогам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http://vernadskogo.mos.ru/to-help-the-taxpayer-new/detail/11370993.html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vernadskogo.mos.ru" TargetMode="External" /><Relationship Type="http://schemas.openxmlformats.org/officeDocument/2006/relationships/hyperlink" Id="rId31" Target="http://vernadskogo.mos.ru/to-help-the-taxpayer-new/detail/11370993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vernadskogo.mos.ru" TargetMode="External" /><Relationship Type="http://schemas.openxmlformats.org/officeDocument/2006/relationships/hyperlink" Id="rId31" Target="http://vernadskogo.mos.ru/to-help-the-taxpayer-new/detail/11370993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2024-03-21T18:52:54Z</dcterms:created>
  <dcterms:modified xsi:type="dcterms:W3CDTF">2024-03-21T18:52:54Z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