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r>
        <w:t xml:space="preserve">1) основной</w:t>
      </w:r>
      <w:r>
        <w:t xml:space="preserve"> </w:t>
      </w:r>
      <w:hyperlink r:id="rId20">
        <w:r>
          <w:rPr>
            <w:rStyle w:val="Hyperlink"/>
          </w:rPr>
          <w:t xml:space="preserve">документ</w:t>
        </w:r>
      </w:hyperlink>
      <w:r>
        <w:t xml:space="preserve">, удостоверяющий личность;</w:t>
      </w:r>
    </w:p>
    <w:p>
      <w:pPr>
        <w:pStyle w:val="BodyText"/>
      </w:pP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r>
        <w:t xml:space="preserve">4) основной государственный регистрационный номер заявителя - юридического лица;</w:t>
      </w:r>
    </w:p>
    <w:p>
      <w:pPr>
        <w:pStyle w:val="BodyText"/>
      </w:pP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http://vernadskogo.mos.ru/to-help-the-taxpayer-new/detail/10991810.html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991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25353707468B9B6C5B769F24FEDC629D381197BDB453AA59897D68539F0681B411FB633CE8B50B4E56E6F47AF996EBF4D1828C3E400D1E56AQ4G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991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2024-03-03T06:45:28Z</dcterms:created>
  <dcterms:modified xsi:type="dcterms:W3CDTF">2024-03-03T06:45:28Z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