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4d3fe13167a01117507abc820afebb4e56bc9"/>
    <w:p>
      <w:pPr>
        <w:pStyle w:val="Heading3"/>
      </w:pPr>
      <w:r>
        <w:t xml:space="preserve">В Управлении расскажут о новых реквизитах для уплаты налогов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t xml:space="preserve">25.10.2020 года с 15:00 в УФНС России по г. Москве проведет вебинар по теме «Как правильно заполнить платёжное поручение с 1 октября 2021 года».</w:t>
      </w:r>
    </w:p>
    <w:p>
      <w:pPr>
        <w:pStyle w:val="BodyText"/>
      </w:pPr>
      <w:r>
        <w:t xml:space="preserve">Вебинар проведет начальник отдела учета и отчетности УФНС России по г. Москве</w:t>
      </w:r>
      <w:r>
        <w:t xml:space="preserve"> </w:t>
      </w:r>
      <w:r>
        <w:rPr>
          <w:bCs/>
          <w:b/>
        </w:rPr>
        <w:t xml:space="preserve">М.В. Дорофеева</w:t>
      </w:r>
      <w:r>
        <w:t xml:space="preserve">.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Правильность заполнения полей п/п на перечисление платежей в бюджет и указания в них реквизитов для уплаты налогов.</w:t>
      </w:r>
    </w:p>
    <w:p>
      <w:pPr>
        <w:pStyle w:val="BodyText"/>
      </w:pPr>
      <w:r>
        <w:t xml:space="preserve">- Порядок оплаты налогов третьими лицами.</w:t>
      </w:r>
    </w:p>
    <w:p>
      <w:pPr>
        <w:pStyle w:val="BodyText"/>
      </w:pPr>
      <w:r>
        <w:t xml:space="preserve">- Способы оплаты налогов физическими лицами.</w:t>
      </w:r>
    </w:p>
    <w:p>
      <w:pPr>
        <w:pStyle w:val="BodyText"/>
      </w:pPr>
      <w:r>
        <w:t xml:space="preserve">- Ошибки при заполнении платежных документов</w:t>
      </w:r>
    </w:p>
    <w:p>
      <w:pPr>
        <w:pStyle w:val="BodyText"/>
      </w:pPr>
      <w:r>
        <w:t xml:space="preserve">До 20 октября можно направить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 http://b10031.vr.mirapolis.ru/mira/s/ba2rgC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http://vernadskogo.mos.ru/to-help-the-taxpayer-new/detail/10334458.html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334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334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2025-08-03T16:38:35Z</dcterms:created>
  <dcterms:modified xsi:type="dcterms:W3CDTF">2025-08-03T16:38:35Z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