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4a295bdc46dd79943c8148e498d632208025368"/>
    <w:p>
      <w:pPr>
        <w:pStyle w:val="Heading3"/>
      </w:pPr>
      <w:r>
        <w:t xml:space="preserve">КОДЕКС ЭТИКИ И СЛУЖЕБНОГО ПОВЕДЕНИЯ ГОСУДАРСТВЕННЫХ ГРАЖДАНСКИХ СЛУЖАЩИХ ГОРОДА МОСКВЫ УПРАВЫ РАЙОНА ПРОСПЕКТ ВЕРНАДСКОГО ЗАПАДНОГО АДМИНИСТРАТИВНОГО ОКРУГА ГОРОДА МОСКВЫ</w:t>
      </w:r>
    </w:p>
    <w:p>
      <w:pPr>
        <w:pStyle w:val="FirstParagraph"/>
      </w:pPr>
      <w:r>
        <w:t xml:space="preserve">22.07.2014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http://vernadskogo.mos.ru/anti-corruption-new/methodical-materials/detail/1135374.html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Проспект Вернадского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vernadskogo.mos.ru" TargetMode="External" /><Relationship Type="http://schemas.openxmlformats.org/officeDocument/2006/relationships/hyperlink" Id="rId20" Target="http://vernadskogo.mos.ru/anti-corruption-new/methodical-materials/detail/113537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vernadskogo.mos.ru" TargetMode="External" /><Relationship Type="http://schemas.openxmlformats.org/officeDocument/2006/relationships/hyperlink" Id="rId20" Target="http://vernadskogo.mos.ru/anti-corruption-new/methodical-materials/detail/113537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2024-08-31T09:10:34Z</dcterms:created>
  <dcterms:modified xsi:type="dcterms:W3CDTF">2024-08-31T09:10:34Z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